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r w:rsidRPr="00CD6BEE"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F7725E">
        <w:rPr>
          <w:rFonts w:cs="Tahoma"/>
          <w:sz w:val="28"/>
          <w:szCs w:val="28"/>
          <w:lang w:eastAsia="ar-SA"/>
        </w:rPr>
        <w:t>КРАСНОДОНЕЦКОЕ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F7725E">
        <w:rPr>
          <w:rFonts w:cs="Tahoma"/>
          <w:sz w:val="28"/>
          <w:szCs w:val="28"/>
          <w:lang w:eastAsia="ar-SA"/>
        </w:rPr>
        <w:t>КРАСНОДОНЕЦКОГО</w:t>
      </w:r>
      <w:r w:rsidR="00C432DC">
        <w:rPr>
          <w:rFonts w:cs="Tahoma"/>
          <w:sz w:val="28"/>
          <w:szCs w:val="28"/>
          <w:lang w:eastAsia="ar-SA"/>
        </w:rPr>
        <w:t xml:space="preserve"> </w:t>
      </w:r>
      <w:r w:rsidRPr="00CD6BEE">
        <w:rPr>
          <w:rFonts w:cs="Tahoma"/>
          <w:sz w:val="28"/>
          <w:szCs w:val="28"/>
          <w:lang w:eastAsia="ar-SA"/>
        </w:rPr>
        <w:t xml:space="preserve">СЕЛЬСКОГО ПОСЕЛЕНИЯ </w:t>
      </w:r>
    </w:p>
    <w:p w:rsidR="00B0585C" w:rsidRDefault="00CD6BEE" w:rsidP="00CD6BEE">
      <w:pPr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 xml:space="preserve">                                        ПОСТАНОВЛЕНИЯ</w:t>
      </w:r>
      <w:r w:rsidR="00FE5DAC">
        <w:rPr>
          <w:sz w:val="28"/>
          <w:szCs w:val="28"/>
        </w:rPr>
        <w:t xml:space="preserve">   </w:t>
      </w:r>
    </w:p>
    <w:p w:rsidR="00F7725E" w:rsidRDefault="00FE5DAC" w:rsidP="00CD6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F5A89" w:rsidRPr="00E515AE" w:rsidRDefault="00B0585C" w:rsidP="00CD6BE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85BD1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марта </w:t>
      </w:r>
      <w:r w:rsidR="00E85785">
        <w:rPr>
          <w:sz w:val="28"/>
          <w:szCs w:val="28"/>
        </w:rPr>
        <w:t>2022</w:t>
      </w:r>
      <w:r w:rsidR="00B71E45">
        <w:rPr>
          <w:sz w:val="28"/>
          <w:szCs w:val="28"/>
        </w:rPr>
        <w:t xml:space="preserve"> г.  </w:t>
      </w:r>
      <w:r w:rsidR="001F5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1F5A89">
        <w:rPr>
          <w:sz w:val="28"/>
          <w:szCs w:val="28"/>
        </w:rPr>
        <w:t>№</w:t>
      </w:r>
      <w:r w:rsidR="00682DAE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</w:p>
    <w:p w:rsidR="00CD6BEE" w:rsidRDefault="00CD6BE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F7725E">
        <w:rPr>
          <w:b/>
          <w:bCs/>
          <w:sz w:val="28"/>
          <w:szCs w:val="28"/>
        </w:rPr>
        <w:t>ст.Краснодонецкая</w:t>
      </w:r>
    </w:p>
    <w:p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B20F94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="00B20F94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>в сфере благоустройст</w:t>
      </w:r>
      <w:r>
        <w:rPr>
          <w:b/>
          <w:bCs/>
          <w:sz w:val="28"/>
          <w:szCs w:val="28"/>
        </w:rPr>
        <w:t xml:space="preserve">ва на территории </w:t>
      </w:r>
      <w:r w:rsidR="00CD6BEE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 xml:space="preserve"> сельского поселения</w:t>
      </w:r>
    </w:p>
    <w:p w:rsidR="00994905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 xml:space="preserve"> </w:t>
      </w:r>
      <w:r w:rsidR="00113B6C">
        <w:rPr>
          <w:b/>
          <w:bCs/>
          <w:sz w:val="28"/>
          <w:szCs w:val="28"/>
        </w:rPr>
        <w:t>на 2022 год</w:t>
      </w:r>
    </w:p>
    <w:p w:rsidR="00573AE6" w:rsidRDefault="00573AE6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16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.02.</w:t>
      </w:r>
      <w:r w:rsidR="00CD6BEE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13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оложения о муниципальном контроле в сфере благоустройства на  территории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682DAE"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Администрация </w:t>
      </w:r>
      <w:r w:rsidR="00F7725E">
        <w:rPr>
          <w:sz w:val="28"/>
          <w:szCs w:val="28"/>
        </w:rPr>
        <w:t>Краснодонец</w:t>
      </w:r>
      <w:r w:rsidR="00DF5E9C">
        <w:rPr>
          <w:sz w:val="28"/>
          <w:szCs w:val="28"/>
        </w:rPr>
        <w:t xml:space="preserve">кого </w:t>
      </w:r>
      <w:r w:rsidR="0037606E" w:rsidRPr="007E42D4">
        <w:rPr>
          <w:sz w:val="28"/>
          <w:szCs w:val="28"/>
        </w:rPr>
        <w:t xml:space="preserve"> сельского поселения</w:t>
      </w:r>
      <w:r w:rsidR="0037606E" w:rsidRPr="007E42D4">
        <w:rPr>
          <w:b/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7460C0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2022 год (Приложение 1)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 </w:t>
      </w:r>
      <w:r w:rsidR="0037606E" w:rsidRPr="007E42D4">
        <w:rPr>
          <w:sz w:val="28"/>
          <w:szCs w:val="28"/>
        </w:rPr>
        <w:t xml:space="preserve">2. Настоящее постановление вступает в силу </w:t>
      </w:r>
      <w:r w:rsidR="007460C0" w:rsidRPr="007E42D4">
        <w:rPr>
          <w:sz w:val="28"/>
          <w:szCs w:val="28"/>
        </w:rPr>
        <w:t xml:space="preserve">с </w:t>
      </w:r>
      <w:r w:rsidR="00DF5E9C">
        <w:rPr>
          <w:sz w:val="28"/>
          <w:szCs w:val="28"/>
        </w:rPr>
        <w:t>05</w:t>
      </w:r>
      <w:r w:rsidR="00B20F94">
        <w:rPr>
          <w:sz w:val="28"/>
          <w:szCs w:val="28"/>
        </w:rPr>
        <w:t>.</w:t>
      </w:r>
      <w:r w:rsidR="007460C0" w:rsidRPr="007E42D4">
        <w:rPr>
          <w:sz w:val="28"/>
          <w:szCs w:val="28"/>
        </w:rPr>
        <w:t>03.2022г.</w:t>
      </w:r>
      <w:r w:rsidR="0037606E" w:rsidRPr="007E42D4">
        <w:rPr>
          <w:sz w:val="28"/>
          <w:szCs w:val="28"/>
        </w:rPr>
        <w:t xml:space="preserve"> и подлежит официальному опубликованию.</w:t>
      </w:r>
    </w:p>
    <w:p w:rsidR="0037606E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F67266" w:rsidRPr="007E42D4" w:rsidRDefault="00F67266" w:rsidP="0037606E">
      <w:pPr>
        <w:rPr>
          <w:sz w:val="28"/>
          <w:szCs w:val="28"/>
        </w:rPr>
      </w:pPr>
    </w:p>
    <w:p w:rsidR="00032060" w:rsidRPr="0029284D" w:rsidRDefault="006B3F93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5785">
        <w:rPr>
          <w:rFonts w:ascii="Times New Roman" w:hAnsi="Times New Roman" w:cs="Times New Roman"/>
          <w:sz w:val="28"/>
          <w:szCs w:val="28"/>
        </w:rPr>
        <w:t xml:space="preserve"> </w:t>
      </w:r>
      <w:r w:rsidR="00032060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25E">
        <w:rPr>
          <w:rFonts w:ascii="Times New Roman" w:hAnsi="Times New Roman" w:cs="Times New Roman"/>
          <w:sz w:val="28"/>
          <w:szCs w:val="28"/>
        </w:rPr>
        <w:t>Краснодонец</w:t>
      </w:r>
      <w:r>
        <w:rPr>
          <w:rFonts w:ascii="Times New Roman" w:hAnsi="Times New Roman" w:cs="Times New Roman"/>
          <w:sz w:val="28"/>
          <w:szCs w:val="28"/>
        </w:rPr>
        <w:t>кого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2060" w:rsidRPr="0029284D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725E">
        <w:rPr>
          <w:rFonts w:ascii="Times New Roman" w:hAnsi="Times New Roman" w:cs="Times New Roman"/>
          <w:sz w:val="28"/>
          <w:szCs w:val="28"/>
        </w:rPr>
        <w:t>В.И.Убийко</w:t>
      </w:r>
    </w:p>
    <w:p w:rsidR="006B3F93" w:rsidRDefault="00032060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10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>
        <w:rPr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 </w:t>
      </w:r>
      <w:r w:rsidRPr="00A26543">
        <w:rPr>
          <w:b w:val="0"/>
          <w:sz w:val="20"/>
          <w:szCs w:val="20"/>
        </w:rPr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F7725E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Краснодонец</w:t>
      </w:r>
      <w:r w:rsidR="00DF5E9C">
        <w:rPr>
          <w:b w:val="0"/>
          <w:sz w:val="20"/>
          <w:szCs w:val="20"/>
        </w:rPr>
        <w:t xml:space="preserve">кого </w:t>
      </w:r>
      <w:r w:rsidR="008F2377" w:rsidRPr="00A26543">
        <w:rPr>
          <w:b w:val="0"/>
          <w:sz w:val="20"/>
          <w:szCs w:val="20"/>
        </w:rPr>
        <w:t xml:space="preserve">  сельского поселения </w:t>
      </w:r>
    </w:p>
    <w:p w:rsidR="008F2377" w:rsidRPr="00A26543" w:rsidRDefault="00B0585C" w:rsidP="008F2377">
      <w:pPr>
        <w:pStyle w:val="52"/>
        <w:shd w:val="clear" w:color="auto" w:fill="auto"/>
        <w:spacing w:before="0" w:after="0" w:line="240" w:lineRule="auto"/>
        <w:ind w:left="6" w:firstLine="1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 18.03.</w:t>
      </w:r>
      <w:r w:rsidR="008F2377">
        <w:rPr>
          <w:b w:val="0"/>
          <w:sz w:val="20"/>
          <w:szCs w:val="20"/>
        </w:rPr>
        <w:t xml:space="preserve">.2022    </w:t>
      </w:r>
      <w:r w:rsidR="008F2377" w:rsidRPr="00A26543">
        <w:rPr>
          <w:b w:val="0"/>
          <w:sz w:val="20"/>
          <w:szCs w:val="20"/>
        </w:rPr>
        <w:t xml:space="preserve"> №</w:t>
      </w:r>
      <w:r w:rsidR="008F237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34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F7725E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Краснодонец</w:t>
      </w:r>
      <w:r w:rsidR="00DF5E9C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2022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F7725E">
              <w:rPr>
                <w:rFonts w:eastAsia="Arial"/>
                <w:sz w:val="28"/>
                <w:szCs w:val="28"/>
              </w:rPr>
              <w:t>31.10.2017г</w:t>
            </w:r>
            <w:r>
              <w:rPr>
                <w:rFonts w:eastAsia="Arial"/>
                <w:sz w:val="28"/>
                <w:szCs w:val="28"/>
              </w:rPr>
              <w:t xml:space="preserve">. № </w:t>
            </w:r>
            <w:r w:rsidR="00F7725E">
              <w:rPr>
                <w:rFonts w:eastAsia="Arial"/>
                <w:sz w:val="28"/>
                <w:szCs w:val="28"/>
              </w:rPr>
              <w:t>37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1.6. Плановых проверок в отношении граждан и организаций в 2021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сайта Администрации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>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3. Повышение правосознания и правовой культуры руководителей органов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кого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контрольного мероприятия) при устном 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7460C0" w:rsidRPr="00150E28" w:rsidRDefault="00930B29" w:rsidP="00573AE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</w:t>
      </w:r>
      <w:r w:rsidR="00573AE6" w:rsidRPr="00150E2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</w:t>
      </w:r>
      <w:r w:rsidR="00573AE6" w:rsidRPr="00150E28">
        <w:rPr>
          <w:sz w:val="28"/>
          <w:szCs w:val="28"/>
        </w:rPr>
        <w:t xml:space="preserve">     </w:t>
      </w:r>
      <w:r>
        <w:rPr>
          <w:sz w:val="28"/>
          <w:szCs w:val="28"/>
        </w:rPr>
        <w:t>Л.</w:t>
      </w:r>
      <w:r w:rsidR="00F7725E">
        <w:rPr>
          <w:sz w:val="28"/>
          <w:szCs w:val="28"/>
        </w:rPr>
        <w:t>С.Терешина</w:t>
      </w:r>
    </w:p>
    <w:sectPr w:rsidR="007460C0" w:rsidRPr="00150E28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BB" w:rsidRDefault="00905DBB">
      <w:r>
        <w:separator/>
      </w:r>
    </w:p>
  </w:endnote>
  <w:endnote w:type="continuationSeparator" w:id="0">
    <w:p w:rsidR="00905DBB" w:rsidRDefault="0090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85" w:rsidRDefault="007C0E8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BB" w:rsidRDefault="00905DBB">
      <w:r>
        <w:separator/>
      </w:r>
    </w:p>
  </w:footnote>
  <w:footnote w:type="continuationSeparator" w:id="0">
    <w:p w:rsidR="00905DBB" w:rsidRDefault="0090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5BD1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3F93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D2A1C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5DBB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0FD6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585C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3069"/>
    <w:rsid w:val="00CD378F"/>
    <w:rsid w:val="00CD4438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126B-777B-4C52-8795-EF10BA98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4</cp:revision>
  <cp:lastPrinted>2022-02-28T09:00:00Z</cp:lastPrinted>
  <dcterms:created xsi:type="dcterms:W3CDTF">2022-03-18T05:35:00Z</dcterms:created>
  <dcterms:modified xsi:type="dcterms:W3CDTF">2022-03-21T10:37:00Z</dcterms:modified>
</cp:coreProperties>
</file>